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DD8B4C3"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653C7869"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8D52E5" w:rsidRPr="008D52E5">
        <w:rPr>
          <w:rFonts w:ascii="Arial" w:eastAsia="Batang" w:hAnsi="Arial" w:cs="Arial"/>
          <w:b/>
          <w:bCs/>
          <w:lang w:val="en-GB"/>
        </w:rPr>
        <w:t>Background on Application Layer FEC in Split Rendering</w:t>
      </w:r>
    </w:p>
    <w:p w14:paraId="52C631B6" w14:textId="0949BCCC"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8D52E5">
        <w:rPr>
          <w:rFonts w:ascii="Arial" w:eastAsia="Batang" w:hAnsi="Arial" w:cs="Arial"/>
          <w:b/>
          <w:bCs/>
          <w:lang w:val="en-GB"/>
        </w:rPr>
        <w:t>9</w:t>
      </w:r>
      <w:r w:rsidR="00E0723F">
        <w:rPr>
          <w:rFonts w:ascii="Arial" w:eastAsia="Batang" w:hAnsi="Arial" w:cs="Arial"/>
          <w:b/>
          <w:bCs/>
          <w:lang w:val="en-GB"/>
        </w:rPr>
        <w:t>.</w:t>
      </w:r>
      <w:r w:rsidR="008D52E5">
        <w:rPr>
          <w:rFonts w:ascii="Arial" w:eastAsia="Batang" w:hAnsi="Arial" w:cs="Arial"/>
          <w:b/>
          <w:bCs/>
          <w:lang w:val="en-GB"/>
        </w:rPr>
        <w:t>11</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34F71998" w14:textId="1CA82500" w:rsidR="008D52E5" w:rsidRDefault="00DE4BAB" w:rsidP="008D52E5">
      <w:pPr>
        <w:rPr>
          <w:lang w:val="en-GB" w:eastAsia="ko-KR"/>
        </w:rPr>
      </w:pPr>
      <w:r>
        <w:rPr>
          <w:lang w:val="en-GB" w:eastAsia="ko-KR"/>
        </w:rPr>
        <w:t xml:space="preserve">In order to support delivery of </w:t>
      </w:r>
      <w:r w:rsidRPr="00DE4BAB">
        <w:rPr>
          <w:lang w:val="en-GB" w:eastAsia="ko-KR"/>
        </w:rPr>
        <w:t>XR and Cloud Gaming Applications</w:t>
      </w:r>
      <w:r>
        <w:rPr>
          <w:lang w:val="en-GB" w:eastAsia="ko-KR"/>
        </w:rPr>
        <w:t xml:space="preserve"> across unreliable links and to avoid time-consuming retransmissions, commercial services implement </w:t>
      </w:r>
      <w:r w:rsidRPr="00DE4BAB">
        <w:rPr>
          <w:lang w:val="en-GB" w:eastAsia="ko-KR"/>
        </w:rPr>
        <w:t>FEC for reliability</w:t>
      </w:r>
      <w:r w:rsidR="00F875D2">
        <w:rPr>
          <w:lang w:val="en-GB" w:eastAsia="ko-KR"/>
        </w:rPr>
        <w:t xml:space="preserve"> and consistent end-to-end latency. The FEC overhead may be set statically or may be adapted based on source properties or other information.</w:t>
      </w:r>
    </w:p>
    <w:p w14:paraId="11141D71" w14:textId="2CF1BB0E" w:rsidR="00F875D2" w:rsidRDefault="00F875D2" w:rsidP="008D52E5">
      <w:pPr>
        <w:rPr>
          <w:lang w:val="en-GB" w:eastAsia="ko-KR"/>
        </w:rPr>
      </w:pPr>
      <w:r>
        <w:rPr>
          <w:lang w:val="en-GB" w:eastAsia="ko-KR"/>
        </w:rPr>
        <w:t>This document motivates the documentation of Application Layer FEC as typical usage XR Applications in TR 26.925 and TR 26.925.</w:t>
      </w:r>
    </w:p>
    <w:p w14:paraId="0316605E" w14:textId="393562F7" w:rsidR="008D52E5" w:rsidRDefault="008D52E5" w:rsidP="008D52E5">
      <w:pPr>
        <w:pStyle w:val="Heading1"/>
        <w:rPr>
          <w:lang w:val="en-GB" w:eastAsia="ko-KR"/>
        </w:rPr>
      </w:pPr>
      <w:r>
        <w:rPr>
          <w:lang w:val="en-GB" w:eastAsia="ko-KR"/>
        </w:rPr>
        <w:t>2</w:t>
      </w:r>
      <w:r>
        <w:rPr>
          <w:lang w:val="en-GB" w:eastAsia="ko-KR"/>
        </w:rPr>
        <w:tab/>
        <w:t>Background on FEC in Commercial Services</w:t>
      </w:r>
    </w:p>
    <w:p w14:paraId="4191004D" w14:textId="0506A7E4" w:rsidR="008B798D" w:rsidRDefault="008B798D" w:rsidP="008B798D">
      <w:pPr>
        <w:rPr>
          <w:lang w:eastAsia="ko-KR"/>
        </w:rPr>
      </w:pPr>
      <w:bookmarkStart w:id="2" w:name="_Hlk150231461"/>
      <w:r w:rsidRPr="717644E6">
        <w:rPr>
          <w:lang w:eastAsia="ko-KR"/>
        </w:rPr>
        <w:t>Commercial XR split rendering and cloud gaming services use FEC.</w:t>
      </w:r>
    </w:p>
    <w:p w14:paraId="79CD405A" w14:textId="3F4E7FFE" w:rsidR="008B798D" w:rsidRPr="008B798D" w:rsidRDefault="008B798D" w:rsidP="008B798D">
      <w:pPr>
        <w:rPr>
          <w:lang w:eastAsia="ko-KR"/>
        </w:rPr>
      </w:pPr>
      <w:r w:rsidRPr="008B798D">
        <w:rPr>
          <w:lang w:eastAsia="ko-KR"/>
        </w:rPr>
        <w:t>Nvidia CloudXR</w:t>
      </w:r>
      <w:r>
        <w:rPr>
          <w:lang w:eastAsia="ko-KR"/>
        </w:rPr>
        <w:t xml:space="preserve"> supports FEC as indicated here</w:t>
      </w:r>
    </w:p>
    <w:p w14:paraId="522AAA51" w14:textId="77777777" w:rsidR="008B798D" w:rsidRPr="008B798D" w:rsidRDefault="00000000" w:rsidP="008B798D">
      <w:pPr>
        <w:ind w:left="720"/>
        <w:rPr>
          <w:lang w:eastAsia="ko-KR"/>
        </w:rPr>
      </w:pPr>
      <w:hyperlink r:id="rId11" w:history="1">
        <w:r w:rsidR="008B798D" w:rsidRPr="008B798D">
          <w:rPr>
            <w:rStyle w:val="Hyperlink"/>
            <w:lang w:eastAsia="ko-KR"/>
          </w:rPr>
          <w:t>https://forums.developer.nvidia.com/t/possible-to-configure-tune-cloudxr-encoding/208977/3</w:t>
        </w:r>
      </w:hyperlink>
    </w:p>
    <w:p w14:paraId="49D4B560" w14:textId="77777777" w:rsidR="008B798D" w:rsidRPr="008B798D" w:rsidRDefault="008B798D" w:rsidP="008B798D">
      <w:pPr>
        <w:ind w:left="1440"/>
        <w:rPr>
          <w:lang w:eastAsia="ko-KR"/>
        </w:rPr>
      </w:pPr>
      <w:r w:rsidRPr="008B798D">
        <w:rPr>
          <w:lang w:eastAsia="ko-KR"/>
        </w:rPr>
        <w:t>Gaming and Visualization TechnologiesXR – VR/AR/MRCloudXR (VR and AR Streaming)</w:t>
      </w:r>
    </w:p>
    <w:p w14:paraId="003EF673" w14:textId="77777777" w:rsidR="008B798D" w:rsidRPr="008B798D" w:rsidRDefault="008B798D" w:rsidP="008B798D">
      <w:pPr>
        <w:ind w:left="1440"/>
        <w:rPr>
          <w:lang w:eastAsia="ko-KR"/>
        </w:rPr>
      </w:pPr>
      <w:r w:rsidRPr="008B798D">
        <w:rPr>
          <w:lang w:eastAsia="ko-KR"/>
        </w:rPr>
        <w:t>Is FEC (forward error correction) supported?</w:t>
      </w:r>
      <w:r w:rsidRPr="008B798D">
        <w:rPr>
          <w:lang w:eastAsia="ko-KR"/>
        </w:rPr>
        <w:br/>
        <w:t>Yes, FEC is used, you’ll actually see it noted in the log when it adjusts. We are looking at what specific network options we can expose, likely starting with high level network profiles, like wifi5 vs wifi6 vs 5G (or something like that).</w:t>
      </w:r>
    </w:p>
    <w:p w14:paraId="41258F23" w14:textId="77777777" w:rsidR="008B798D" w:rsidRPr="008B798D" w:rsidRDefault="008B798D" w:rsidP="008B798D">
      <w:pPr>
        <w:rPr>
          <w:lang w:eastAsia="ko-KR"/>
        </w:rPr>
      </w:pPr>
      <w:r w:rsidRPr="008B798D">
        <w:rPr>
          <w:lang w:eastAsia="ko-KR"/>
        </w:rPr>
        <w:t>GeForce Now</w:t>
      </w:r>
    </w:p>
    <w:p w14:paraId="58F11B10" w14:textId="77777777" w:rsidR="008B798D" w:rsidRPr="008B798D" w:rsidRDefault="00000000" w:rsidP="008B798D">
      <w:pPr>
        <w:ind w:left="720"/>
        <w:rPr>
          <w:lang w:eastAsia="ko-KR"/>
        </w:rPr>
      </w:pPr>
      <w:hyperlink r:id="rId12" w:history="1">
        <w:r w:rsidR="008B798D" w:rsidRPr="008B798D">
          <w:rPr>
            <w:rStyle w:val="Hyperlink"/>
            <w:rFonts w:hint="eastAsia"/>
            <w:lang w:eastAsia="ko-KR"/>
          </w:rPr>
          <w:t>https://inria.hal.science/hal-03421031/preview/cloud_gamig_traffic_under_constraints_CR.pdf</w:t>
        </w:r>
      </w:hyperlink>
    </w:p>
    <w:p w14:paraId="34A81D7D" w14:textId="77777777" w:rsidR="008B798D" w:rsidRPr="008B798D" w:rsidRDefault="008B798D" w:rsidP="008B798D">
      <w:pPr>
        <w:ind w:left="1440"/>
        <w:rPr>
          <w:lang w:eastAsia="ko-KR"/>
        </w:rPr>
      </w:pPr>
      <w:r w:rsidRPr="008B798D">
        <w:rPr>
          <w:lang w:eastAsia="ko-KR"/>
        </w:rPr>
        <w:t>Regarding GFN, the curves are roughly similar for 5 and 10% of packet loss. We see a slight bit rate increase (through the packet rate). We conjecture it is due to the addition of Forward Error Correction (FEC) which would be inhibited in normal conditions.</w:t>
      </w:r>
    </w:p>
    <w:p w14:paraId="570E02F6" w14:textId="77777777" w:rsidR="008B798D" w:rsidRPr="008B798D" w:rsidRDefault="008B798D" w:rsidP="008B798D">
      <w:pPr>
        <w:rPr>
          <w:lang w:eastAsia="ko-KR"/>
        </w:rPr>
      </w:pPr>
      <w:r w:rsidRPr="008B798D">
        <w:rPr>
          <w:lang w:eastAsia="ko-KR"/>
        </w:rPr>
        <w:t>Sony Playstation NOW</w:t>
      </w:r>
    </w:p>
    <w:p w14:paraId="4F947002" w14:textId="77777777" w:rsidR="008B798D" w:rsidRPr="008B798D" w:rsidRDefault="00000000" w:rsidP="008B798D">
      <w:pPr>
        <w:ind w:left="720"/>
        <w:rPr>
          <w:lang w:eastAsia="ko-KR"/>
        </w:rPr>
      </w:pPr>
      <w:hyperlink r:id="rId13" w:history="1">
        <w:r w:rsidR="008B798D" w:rsidRPr="008B798D">
          <w:rPr>
            <w:rStyle w:val="Hyperlink"/>
            <w:lang w:eastAsia="ko-KR"/>
          </w:rPr>
          <w:t>https://www.mdpi.com/2673-8732/1/3/15</w:t>
        </w:r>
      </w:hyperlink>
    </w:p>
    <w:p w14:paraId="0C99D200" w14:textId="77777777" w:rsidR="008B798D" w:rsidRPr="008B798D" w:rsidRDefault="008B798D" w:rsidP="008B798D">
      <w:pPr>
        <w:ind w:left="1440"/>
        <w:rPr>
          <w:lang w:eastAsia="ko-KR"/>
        </w:rPr>
      </w:pPr>
      <w:r w:rsidRPr="008B798D">
        <w:rPr>
          <w:lang w:eastAsia="ko-KR"/>
        </w:rPr>
        <w:t>In PS Now, a single UDP flow appears to carry an audio, a video and a retransmission/FEC stream.</w:t>
      </w:r>
    </w:p>
    <w:p w14:paraId="6D02BBD0" w14:textId="77777777" w:rsidR="008B798D" w:rsidRPr="008B798D" w:rsidRDefault="008B798D" w:rsidP="008B798D">
      <w:pPr>
        <w:rPr>
          <w:lang w:eastAsia="ko-KR"/>
        </w:rPr>
      </w:pPr>
      <w:r w:rsidRPr="008B798D">
        <w:rPr>
          <w:lang w:eastAsia="ko-KR"/>
        </w:rPr>
        <w:t>Google Stadia</w:t>
      </w:r>
    </w:p>
    <w:p w14:paraId="1CEC0EDB" w14:textId="77777777" w:rsidR="008B798D" w:rsidRPr="008B798D" w:rsidRDefault="00000000" w:rsidP="008B798D">
      <w:pPr>
        <w:ind w:left="720"/>
        <w:rPr>
          <w:lang w:eastAsia="ko-KR"/>
        </w:rPr>
      </w:pPr>
      <w:hyperlink r:id="rId14" w:history="1">
        <w:r w:rsidR="008B798D" w:rsidRPr="008B798D">
          <w:rPr>
            <w:rStyle w:val="Hyperlink"/>
            <w:lang w:eastAsia="ko-KR"/>
          </w:rPr>
          <w:t>https://inria.hal.science/hal-03421031/preview/cloud_gamig_traffic_under_constraints_CR.pdf</w:t>
        </w:r>
      </w:hyperlink>
    </w:p>
    <w:p w14:paraId="27029771" w14:textId="77777777" w:rsidR="008B798D" w:rsidRPr="008B798D" w:rsidRDefault="008B798D" w:rsidP="008B798D">
      <w:pPr>
        <w:ind w:left="1440"/>
        <w:rPr>
          <w:lang w:eastAsia="ko-KR"/>
        </w:rPr>
      </w:pPr>
      <w:r w:rsidRPr="008B798D">
        <w:rPr>
          <w:lang w:eastAsia="ko-KR"/>
        </w:rPr>
        <w:t>xCloud and Stadia do not adapt their traffic at all, probably meaning that their traffic already include enough FEC to withstand a 5% loss rate</w:t>
      </w:r>
    </w:p>
    <w:bookmarkEnd w:id="2"/>
    <w:p w14:paraId="366AA24E" w14:textId="79E47B11" w:rsidR="00CE4DF0" w:rsidRDefault="00CE4DF0" w:rsidP="00CE4DF0">
      <w:pPr>
        <w:pStyle w:val="Heading1"/>
        <w:rPr>
          <w:lang w:val="en-GB" w:eastAsia="ko-KR"/>
        </w:rPr>
      </w:pPr>
      <w:r>
        <w:rPr>
          <w:lang w:val="en-GB" w:eastAsia="ko-KR"/>
        </w:rPr>
        <w:lastRenderedPageBreak/>
        <w:t>3</w:t>
      </w:r>
      <w:r>
        <w:rPr>
          <w:lang w:val="en-GB" w:eastAsia="ko-KR"/>
        </w:rPr>
        <w:tab/>
        <w:t>General Usage of FEC</w:t>
      </w:r>
    </w:p>
    <w:p w14:paraId="65AE9624" w14:textId="16ABC1D6" w:rsidR="00CE4DF0" w:rsidRDefault="00CE4DF0" w:rsidP="00CE4DF0">
      <w:pPr>
        <w:rPr>
          <w:lang w:val="en-GB" w:eastAsia="ko-KR"/>
        </w:rPr>
      </w:pPr>
      <w:bookmarkStart w:id="3" w:name="_Hlk150231671"/>
      <w:r>
        <w:rPr>
          <w:lang w:val="en-GB" w:eastAsia="ko-KR"/>
        </w:rPr>
        <w:t>In the reference systems presented above, the Application Data Units (ADUs) are not sent directly to the network, but they are added to a source block that then generates packets of basically equal size in order to then distribute the content.</w:t>
      </w:r>
      <w:r w:rsidR="008B798D">
        <w:rPr>
          <w:lang w:val="en-GB" w:eastAsia="ko-KR"/>
        </w:rPr>
        <w:t xml:space="preserve"> The basic concept looks as shown in Figure 1.</w:t>
      </w:r>
    </w:p>
    <w:p w14:paraId="0BE138A7" w14:textId="0206BDA1" w:rsidR="005030CB" w:rsidRDefault="005030CB" w:rsidP="00CE4DF0">
      <w:pPr>
        <w:rPr>
          <w:lang w:val="en-GB" w:eastAsia="ko-KR"/>
        </w:rPr>
      </w:pPr>
      <w:r>
        <w:rPr>
          <w:lang w:val="en-GB" w:eastAsia="ko-KR"/>
        </w:rPr>
        <w:t xml:space="preserve">The Application Data </w:t>
      </w:r>
      <w:r w:rsidR="00FB2C4C">
        <w:rPr>
          <w:lang w:val="en-GB" w:eastAsia="ko-KR"/>
        </w:rPr>
        <w:t>Unit (for example a video frame</w:t>
      </w:r>
      <w:r w:rsidR="005E07AE">
        <w:rPr>
          <w:lang w:val="en-GB" w:eastAsia="ko-KR"/>
        </w:rPr>
        <w:t>, or an object</w:t>
      </w:r>
      <w:r w:rsidR="00FB2C4C">
        <w:rPr>
          <w:lang w:val="en-GB" w:eastAsia="ko-KR"/>
        </w:rPr>
        <w:t>) has assigned some size F and some additional properties</w:t>
      </w:r>
      <w:r w:rsidR="005E07AE">
        <w:rPr>
          <w:lang w:val="en-GB" w:eastAsia="ko-KR"/>
        </w:rPr>
        <w:t>, for example the type of the ADU, its importance, its delay constraints and so on. The ADU forms a source block for the with K encoding symbols, each of size T. The encoding symbol forms the payload of K source packets, whereby each repair packet may include some of the properties, and includes the source block size K as well as the encoding symbol id (ESI). The size of the object</w:t>
      </w:r>
      <w:r w:rsidR="00D700AF">
        <w:rPr>
          <w:lang w:val="en-GB" w:eastAsia="ko-KR"/>
        </w:rPr>
        <w:t>, F,</w:t>
      </w:r>
      <w:r w:rsidR="005E07AE">
        <w:rPr>
          <w:lang w:val="en-GB" w:eastAsia="ko-KR"/>
        </w:rPr>
        <w:t xml:space="preserve"> may be carried as part of the source block as shown in Figure 1.</w:t>
      </w:r>
      <w:r w:rsidR="00D700AF">
        <w:rPr>
          <w:lang w:val="en-GB" w:eastAsia="ko-KR"/>
        </w:rPr>
        <w:t xml:space="preserve"> In addition to K source packets, N-K repair packets may be sent as part of this ADU. The repair packets would be assigned to the same ADU (some sort of TOI).</w:t>
      </w:r>
    </w:p>
    <w:p w14:paraId="3E396CAF" w14:textId="64E345E3" w:rsidR="005E07AE" w:rsidRDefault="00D55ABF" w:rsidP="005E07AE">
      <w:pPr>
        <w:keepNext/>
        <w:jc w:val="center"/>
      </w:pPr>
      <w:r>
        <w:object w:dxaOrig="16951" w:dyaOrig="9270" w14:anchorId="40F6B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6.1pt" o:ole="">
            <v:imagedata r:id="rId15" o:title=""/>
          </v:shape>
          <o:OLEObject Type="Embed" ProgID="Visio.Drawing.15" ShapeID="_x0000_i1025" DrawAspect="Content" ObjectID="_1760891064" r:id="rId16"/>
        </w:object>
      </w:r>
    </w:p>
    <w:p w14:paraId="52544193" w14:textId="331AC776" w:rsidR="004F5181" w:rsidRDefault="005E07AE" w:rsidP="005E07AE">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Packet Generation for Application Layer FEC</w:t>
      </w:r>
    </w:p>
    <w:p w14:paraId="5B91763A" w14:textId="4F12305F" w:rsidR="005E07AE" w:rsidRDefault="00D55ABF" w:rsidP="005E07AE">
      <w:r>
        <w:t>At the receiving end, assuming that the code is maximum distance separable (MDS)</w:t>
      </w:r>
      <w:r w:rsidR="00D700AF">
        <w:t xml:space="preserve"> as available for RaptorQ or Reed-Solomon codes</w:t>
      </w:r>
      <w:r>
        <w:t xml:space="preserve">, i.e. K out of the N </w:t>
      </w:r>
      <w:r w:rsidR="00D700AF">
        <w:t>packets are sufficient to recover the ADU, the receiver collects K symbols, determines the symbol size T based on the payload size, applies FEC decoding, recovers the source block, reads the size F from the K-th source symbols and recovers the ADU for the next layer in the protocol stack.</w:t>
      </w:r>
    </w:p>
    <w:p w14:paraId="388888B3" w14:textId="6E74D189" w:rsidR="00DE4BAB" w:rsidRDefault="00DE4BAB" w:rsidP="005E07AE">
      <w:r>
        <w:t xml:space="preserve">This system is aligned with RFC 5052 as available here </w:t>
      </w:r>
      <w:hyperlink r:id="rId17" w:history="1">
        <w:r w:rsidRPr="00BE5134">
          <w:rPr>
            <w:rStyle w:val="Hyperlink"/>
          </w:rPr>
          <w:t>https://datatracker.ietf.org/doc/html/rfc5052</w:t>
        </w:r>
      </w:hyperlink>
      <w:r>
        <w:t xml:space="preserve">. </w:t>
      </w:r>
    </w:p>
    <w:p w14:paraId="286FAE0C" w14:textId="1BC4DA63" w:rsidR="00D700AF" w:rsidRDefault="00D700AF" w:rsidP="005E07AE">
      <w:r>
        <w:t xml:space="preserve">The </w:t>
      </w:r>
      <w:r w:rsidR="00DE4BAB">
        <w:t xml:space="preserve">FEC Payload ID (i.e. the information carried in every packet header), would essentially only require the encoding symbol ID and the source block size K. For RaptorQ, the maximum source block size is </w:t>
      </w:r>
      <w:r w:rsidR="00DE4BAB" w:rsidRPr="00DE4BAB">
        <w:t>56403</w:t>
      </w:r>
      <w:r w:rsidR="00DE4BAB">
        <w:t>, i.e. 16 bits are sufficient. It is also expected that to signal the ESI, 16 bit would be sufficient for most applications.</w:t>
      </w:r>
    </w:p>
    <w:p w14:paraId="7D00CE89" w14:textId="06EE4F99" w:rsidR="004F5181" w:rsidRPr="00DE4BAB" w:rsidRDefault="00DE4BAB" w:rsidP="00CE4DF0">
      <w:r>
        <w:t>While the above FEC configuration only serves as one reference, it is a typical implementation. Other FEC algorithms may be used, but the one above is existing.</w:t>
      </w:r>
    </w:p>
    <w:bookmarkEnd w:id="3"/>
    <w:p w14:paraId="7D567BAD" w14:textId="540DD6DB" w:rsidR="00C90EF0" w:rsidRDefault="005C2125" w:rsidP="00C90EF0">
      <w:pPr>
        <w:pStyle w:val="Heading1"/>
        <w:rPr>
          <w:lang w:val="en-GB" w:eastAsia="ko-KR"/>
        </w:rPr>
      </w:pPr>
      <w:r>
        <w:rPr>
          <w:lang w:val="en-GB" w:eastAsia="ko-KR"/>
        </w:rPr>
        <w:lastRenderedPageBreak/>
        <w:t>4</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1D03F51A" w:rsidR="006325B3" w:rsidRDefault="00DE4BAB" w:rsidP="00B825FE">
      <w:pPr>
        <w:pStyle w:val="B1"/>
        <w:numPr>
          <w:ilvl w:val="0"/>
          <w:numId w:val="10"/>
        </w:numPr>
        <w:rPr>
          <w:lang w:val="en-GB" w:eastAsia="ko-KR"/>
        </w:rPr>
      </w:pPr>
      <w:r>
        <w:rPr>
          <w:lang w:val="en-GB" w:eastAsia="ko-KR"/>
        </w:rPr>
        <w:t>Add the FEC configuration to TR 26.926, together with some potential configuration parameters. See S4-231696.</w:t>
      </w:r>
    </w:p>
    <w:p w14:paraId="01EC900B" w14:textId="241804E3" w:rsidR="00EC60F2" w:rsidRPr="00DE4BAB" w:rsidRDefault="00DE4BAB" w:rsidP="00DE4BAB">
      <w:pPr>
        <w:pStyle w:val="B1"/>
        <w:numPr>
          <w:ilvl w:val="0"/>
          <w:numId w:val="10"/>
        </w:numPr>
        <w:rPr>
          <w:lang w:val="en-GB" w:eastAsia="ko-KR"/>
        </w:rPr>
      </w:pPr>
      <w:r>
        <w:rPr>
          <w:lang w:val="en-GB" w:eastAsia="ko-KR"/>
        </w:rPr>
        <w:t>Add application layer FEC configuration to TR 26.925 on traffic characteristics. See S4-231697.</w:t>
      </w:r>
    </w:p>
    <w:sectPr w:rsidR="00EC60F2" w:rsidRPr="00DE4BAB">
      <w:headerReference w:type="default" r:id="rId1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07FE" w14:textId="77777777" w:rsidR="00D62B98" w:rsidRDefault="00D62B98" w:rsidP="0098577C">
      <w:pPr>
        <w:spacing w:after="0"/>
      </w:pPr>
      <w:r>
        <w:separator/>
      </w:r>
    </w:p>
  </w:endnote>
  <w:endnote w:type="continuationSeparator" w:id="0">
    <w:p w14:paraId="788D5421" w14:textId="77777777" w:rsidR="00D62B98" w:rsidRDefault="00D62B98" w:rsidP="0098577C">
      <w:pPr>
        <w:spacing w:after="0"/>
      </w:pPr>
      <w:r>
        <w:continuationSeparator/>
      </w:r>
    </w:p>
  </w:endnote>
  <w:endnote w:type="continuationNotice" w:id="1">
    <w:p w14:paraId="410D9D1D" w14:textId="77777777" w:rsidR="00D62B98" w:rsidRDefault="00D62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F7922" w14:textId="77777777" w:rsidR="00D62B98" w:rsidRDefault="00D62B98" w:rsidP="0098577C">
      <w:pPr>
        <w:spacing w:after="0"/>
      </w:pPr>
      <w:r>
        <w:separator/>
      </w:r>
    </w:p>
  </w:footnote>
  <w:footnote w:type="continuationSeparator" w:id="0">
    <w:p w14:paraId="082DB0FC" w14:textId="77777777" w:rsidR="00D62B98" w:rsidRDefault="00D62B98" w:rsidP="0098577C">
      <w:pPr>
        <w:spacing w:after="0"/>
      </w:pPr>
      <w:r>
        <w:continuationSeparator/>
      </w:r>
    </w:p>
  </w:footnote>
  <w:footnote w:type="continuationNotice" w:id="1">
    <w:p w14:paraId="715D7D07" w14:textId="77777777" w:rsidR="00D62B98" w:rsidRDefault="00D62B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6D3D72B8"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E4010">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8D52E5">
      <w:rPr>
        <w:rFonts w:ascii="Arial" w:eastAsia="Batang" w:hAnsi="Arial"/>
        <w:b/>
      </w:rPr>
      <w:t>1695</w:t>
    </w:r>
  </w:p>
  <w:p w14:paraId="2BE00BBA" w14:textId="5191048D" w:rsidR="00DE3B73" w:rsidRPr="0098577C" w:rsidRDefault="00EE4010" w:rsidP="0098577C">
    <w:pPr>
      <w:spacing w:after="120"/>
      <w:outlineLvl w:val="0"/>
      <w:rPr>
        <w:rFonts w:ascii="Arial" w:eastAsia="Malgun Gothic" w:hAnsi="Arial"/>
        <w:b/>
        <w:noProof/>
      </w:rPr>
    </w:pPr>
    <w:r>
      <w:rPr>
        <w:rFonts w:ascii="Arial" w:eastAsia="Malgun Gothic" w:hAnsi="Arial"/>
        <w:b/>
        <w:noProof/>
      </w:rPr>
      <w:t>Chicago, IL</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9"/>
  </w:num>
  <w:num w:numId="3" w16cid:durableId="2065760970">
    <w:abstractNumId w:val="10"/>
  </w:num>
  <w:num w:numId="4" w16cid:durableId="2001108533">
    <w:abstractNumId w:val="1"/>
  </w:num>
  <w:num w:numId="5" w16cid:durableId="1318849535">
    <w:abstractNumId w:val="11"/>
  </w:num>
  <w:num w:numId="6" w16cid:durableId="1727948454">
    <w:abstractNumId w:val="3"/>
  </w:num>
  <w:num w:numId="7" w16cid:durableId="1234782164">
    <w:abstractNumId w:val="8"/>
  </w:num>
  <w:num w:numId="8" w16cid:durableId="901479558">
    <w:abstractNumId w:val="14"/>
  </w:num>
  <w:num w:numId="9" w16cid:durableId="659040238">
    <w:abstractNumId w:val="7"/>
  </w:num>
  <w:num w:numId="10" w16cid:durableId="925455707">
    <w:abstractNumId w:val="2"/>
  </w:num>
  <w:num w:numId="11" w16cid:durableId="10950524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12"/>
  </w:num>
  <w:num w:numId="13" w16cid:durableId="289361184">
    <w:abstractNumId w:val="4"/>
  </w:num>
  <w:num w:numId="14" w16cid:durableId="1219583984">
    <w:abstractNumId w:val="6"/>
  </w:num>
  <w:num w:numId="15" w16cid:durableId="21485046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CA" w:vendorID="64" w:dllVersion="6" w:nlCheck="1" w:checkStyle="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87E24"/>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D77F7"/>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06846"/>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D5886"/>
    <w:rsid w:val="004E241A"/>
    <w:rsid w:val="004E3B2C"/>
    <w:rsid w:val="004E4D19"/>
    <w:rsid w:val="004E546D"/>
    <w:rsid w:val="004E5C64"/>
    <w:rsid w:val="004E741C"/>
    <w:rsid w:val="004E7E6C"/>
    <w:rsid w:val="004F0808"/>
    <w:rsid w:val="004F3956"/>
    <w:rsid w:val="004F5181"/>
    <w:rsid w:val="004F5B08"/>
    <w:rsid w:val="004F67BF"/>
    <w:rsid w:val="005030CB"/>
    <w:rsid w:val="00504085"/>
    <w:rsid w:val="005041D2"/>
    <w:rsid w:val="005045D7"/>
    <w:rsid w:val="005063B9"/>
    <w:rsid w:val="00510162"/>
    <w:rsid w:val="00511D13"/>
    <w:rsid w:val="00511E5D"/>
    <w:rsid w:val="005126DA"/>
    <w:rsid w:val="00516778"/>
    <w:rsid w:val="005201FC"/>
    <w:rsid w:val="00521768"/>
    <w:rsid w:val="00522AB2"/>
    <w:rsid w:val="00522AFC"/>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3878"/>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6F3EAB"/>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98D"/>
    <w:rsid w:val="008B7BE0"/>
    <w:rsid w:val="008C0CC5"/>
    <w:rsid w:val="008C14D2"/>
    <w:rsid w:val="008C19DF"/>
    <w:rsid w:val="008C21F1"/>
    <w:rsid w:val="008C2D63"/>
    <w:rsid w:val="008C5BD2"/>
    <w:rsid w:val="008D1E9E"/>
    <w:rsid w:val="008D2407"/>
    <w:rsid w:val="008D52E5"/>
    <w:rsid w:val="008D57D5"/>
    <w:rsid w:val="008D5DF4"/>
    <w:rsid w:val="008D601E"/>
    <w:rsid w:val="008D61E6"/>
    <w:rsid w:val="008E063C"/>
    <w:rsid w:val="008E7C31"/>
    <w:rsid w:val="008F00F9"/>
    <w:rsid w:val="008F1406"/>
    <w:rsid w:val="008F1AF7"/>
    <w:rsid w:val="008F1DFE"/>
    <w:rsid w:val="008F3521"/>
    <w:rsid w:val="008F3E22"/>
    <w:rsid w:val="008F46BB"/>
    <w:rsid w:val="008F4758"/>
    <w:rsid w:val="008F603B"/>
    <w:rsid w:val="008F6F9E"/>
    <w:rsid w:val="008F78E1"/>
    <w:rsid w:val="0090205D"/>
    <w:rsid w:val="00903C19"/>
    <w:rsid w:val="009044D6"/>
    <w:rsid w:val="00905231"/>
    <w:rsid w:val="0090627C"/>
    <w:rsid w:val="00906C48"/>
    <w:rsid w:val="0091141A"/>
    <w:rsid w:val="00912BFF"/>
    <w:rsid w:val="0091358A"/>
    <w:rsid w:val="0092171D"/>
    <w:rsid w:val="00922A16"/>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57792"/>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7EE0"/>
    <w:rsid w:val="00CC0219"/>
    <w:rsid w:val="00CC06C3"/>
    <w:rsid w:val="00CC100D"/>
    <w:rsid w:val="00CC3634"/>
    <w:rsid w:val="00CC5212"/>
    <w:rsid w:val="00CC5FAB"/>
    <w:rsid w:val="00CC6CDB"/>
    <w:rsid w:val="00CD041C"/>
    <w:rsid w:val="00CD194C"/>
    <w:rsid w:val="00CD3F79"/>
    <w:rsid w:val="00CD567E"/>
    <w:rsid w:val="00CD6A5E"/>
    <w:rsid w:val="00CE1CEE"/>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50D5"/>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2B98"/>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308D"/>
    <w:rsid w:val="00DC28AD"/>
    <w:rsid w:val="00DC71AB"/>
    <w:rsid w:val="00DD4B0E"/>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72CF2"/>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0E5A"/>
    <w:rsid w:val="00FC16DF"/>
    <w:rsid w:val="00FC361C"/>
    <w:rsid w:val="00FD1031"/>
    <w:rsid w:val="00FD2556"/>
    <w:rsid w:val="00FD3162"/>
    <w:rsid w:val="00FD3FAF"/>
    <w:rsid w:val="00FE06C7"/>
    <w:rsid w:val="00FE1692"/>
    <w:rsid w:val="00FE1C25"/>
    <w:rsid w:val="00FE5648"/>
    <w:rsid w:val="00FF2206"/>
    <w:rsid w:val="00FF724B"/>
    <w:rsid w:val="717644E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dpi.com/2673-8732/1/3/15"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ria.hal.science/hal-03421031/preview/cloud_gamig_traffic_under_constraints_CR.pdf" TargetMode="External"/><Relationship Id="rId17" Type="http://schemas.openxmlformats.org/officeDocument/2006/relationships/hyperlink" Target="https://datatracker.ietf.org/doc/html/rfc5052"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ums.developer.nvidia.com/t/possible-to-configure-tune-cloudxr-encoding/208977/3"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ria.hal.science/hal-03421031/preview/cloud_gamig_traffic_under_constraints_C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722</Words>
  <Characters>4121</Characters>
  <Application>Microsoft Office Word</Application>
  <DocSecurity>0</DocSecurity>
  <Lines>34</Lines>
  <Paragraphs>9</Paragraphs>
  <ScaleCrop>false</ScaleCrop>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cp:revision>
  <dcterms:created xsi:type="dcterms:W3CDTF">2023-11-07T17:41:00Z</dcterms:created>
  <dcterms:modified xsi:type="dcterms:W3CDTF">2023-11-07T18:32:00Z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